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1BA" w14:textId="3F5DA45A"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F45AB6">
        <w:rPr>
          <w:rFonts w:ascii="Calibri" w:hAnsi="Calibri"/>
          <w:b/>
          <w:sz w:val="28"/>
          <w:szCs w:val="28"/>
        </w:rPr>
        <w:t>Fed4FIRE+</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50409AFE"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F45AB6">
        <w:rPr>
          <w:rFonts w:ascii="Calibri" w:hAnsi="Calibri"/>
          <w:sz w:val="20"/>
          <w:szCs w:val="20"/>
        </w:rPr>
        <w:t>Fed4FIRE+</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24848CF6"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with its regist</w:t>
      </w:r>
      <w:bookmarkStart w:id="0" w:name="_GoBack"/>
      <w:bookmarkEnd w:id="0"/>
      <w:r w:rsidRPr="00EF314E">
        <w:rPr>
          <w:rFonts w:ascii="Calibri" w:hAnsi="Calibri"/>
          <w:sz w:val="20"/>
          <w:szCs w:val="20"/>
        </w:rPr>
        <w:t xml:space="preserve">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712E68F"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Plus“ (hereinafter referred to as “</w:t>
      </w:r>
      <w:r w:rsidR="00F45AB6">
        <w:rPr>
          <w:rFonts w:ascii="Calibri" w:hAnsi="Calibri" w:cs="Calibri"/>
          <w:sz w:val="20"/>
          <w:szCs w:val="20"/>
        </w:rPr>
        <w:t>Fed4FIRE+</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48BF18B3"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Université</w:t>
      </w:r>
      <w:proofErr w:type="spellEnd"/>
      <w:r w:rsidR="00814842" w:rsidRPr="00081A42">
        <w:rPr>
          <w:rFonts w:ascii="Calibri" w:eastAsia="SimSun" w:hAnsi="Calibri" w:cs="Calibri"/>
          <w:spacing w:val="-3"/>
          <w:sz w:val="20"/>
          <w:szCs w:val="20"/>
          <w:lang w:eastAsia="fi-FI"/>
        </w:rPr>
        <w:t xml:space="preserve"> Pierre et Marie Curie – Paris 6</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“UPMC”</w:t>
      </w:r>
      <w:r w:rsidR="00814842" w:rsidRPr="00081A42">
        <w:rPr>
          <w:rFonts w:ascii="Calibri" w:hAnsi="Calibri"/>
          <w:sz w:val="20"/>
          <w:szCs w:val="20"/>
        </w:rPr>
        <w:t>)</w:t>
      </w:r>
      <w:r w:rsidR="000429EE">
        <w:rPr>
          <w:rFonts w:ascii="Calibri" w:hAnsi="Calibri"/>
          <w:sz w:val="20"/>
          <w:szCs w:val="20"/>
        </w:rPr>
        <w:t xml:space="preserve"> now Sorbonne </w:t>
      </w:r>
      <w:proofErr w:type="spellStart"/>
      <w:r w:rsidR="000429EE">
        <w:rPr>
          <w:rFonts w:ascii="Calibri" w:hAnsi="Calibri"/>
          <w:sz w:val="20"/>
          <w:szCs w:val="20"/>
        </w:rPr>
        <w:t>Université</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Fraunhofer-Gesellschaft </w:t>
      </w:r>
      <w:proofErr w:type="spellStart"/>
      <w:r w:rsidR="00814842" w:rsidRPr="00081A42">
        <w:rPr>
          <w:rFonts w:ascii="Calibri" w:eastAsia="SimSun" w:hAnsi="Calibri" w:cs="Calibri"/>
          <w:spacing w:val="-3"/>
          <w:sz w:val="20"/>
          <w:szCs w:val="20"/>
          <w:lang w:eastAsia="fi-FI"/>
        </w:rPr>
        <w:t>zur</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Förderung</w:t>
      </w:r>
      <w:proofErr w:type="spellEnd"/>
      <w:r w:rsidR="00814842" w:rsidRPr="00081A42">
        <w:rPr>
          <w:rFonts w:ascii="Calibri" w:eastAsia="SimSun" w:hAnsi="Calibri" w:cs="Calibri"/>
          <w:spacing w:val="-3"/>
          <w:sz w:val="20"/>
          <w:szCs w:val="20"/>
          <w:lang w:eastAsia="fi-FI"/>
        </w:rPr>
        <w:t xml:space="preserve"> der </w:t>
      </w:r>
      <w:proofErr w:type="spellStart"/>
      <w:r w:rsidR="00814842" w:rsidRPr="00081A42">
        <w:rPr>
          <w:rFonts w:ascii="Calibri" w:eastAsia="SimSun" w:hAnsi="Calibri" w:cs="Calibri"/>
          <w:spacing w:val="-3"/>
          <w:sz w:val="20"/>
          <w:szCs w:val="20"/>
          <w:lang w:eastAsia="fi-FI"/>
        </w:rPr>
        <w:t>angewandten</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Forschung</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e.V</w:t>
      </w:r>
      <w:proofErr w:type="spellEnd"/>
      <w:r w:rsidR="00814842" w:rsidRPr="00081A42">
        <w:rPr>
          <w:rFonts w:ascii="Calibri" w:eastAsia="SimSun" w:hAnsi="Calibri" w:cs="Calibri"/>
          <w:spacing w:val="-3"/>
          <w:sz w:val="20"/>
          <w:szCs w:val="20"/>
          <w:lang w:eastAsia="fi-FI"/>
        </w:rPr>
        <w:t xml:space="preserve">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“Fraunhofer”</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Technische</w:t>
      </w:r>
      <w:proofErr w:type="spellEnd"/>
      <w:r w:rsidR="00814842" w:rsidRPr="00081A42">
        <w:rPr>
          <w:rFonts w:ascii="Calibri" w:eastAsia="SimSun" w:hAnsi="Calibri" w:cs="Calibri"/>
          <w:spacing w:val="-3"/>
          <w:sz w:val="20"/>
          <w:szCs w:val="20"/>
          <w:lang w:eastAsia="fi-FI"/>
        </w:rPr>
        <w:t xml:space="preserve"> Universität Berlin</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“TUB”</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Ethniko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Kentro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Erevnas</w:t>
      </w:r>
      <w:proofErr w:type="spellEnd"/>
      <w:r w:rsidR="00814842" w:rsidRPr="00081A42">
        <w:rPr>
          <w:rFonts w:ascii="Calibri" w:eastAsia="SimSun" w:hAnsi="Calibri" w:cs="Calibri"/>
          <w:spacing w:val="-3"/>
          <w:sz w:val="20"/>
          <w:szCs w:val="20"/>
          <w:lang w:eastAsia="fi-FI"/>
        </w:rPr>
        <w:t xml:space="preserve"> Kai </w:t>
      </w:r>
      <w:proofErr w:type="spellStart"/>
      <w:r w:rsidR="00814842" w:rsidRPr="00081A42">
        <w:rPr>
          <w:rFonts w:ascii="Calibri" w:eastAsia="SimSun" w:hAnsi="Calibri" w:cs="Calibri"/>
          <w:spacing w:val="-3"/>
          <w:sz w:val="20"/>
          <w:szCs w:val="20"/>
          <w:lang w:eastAsia="fi-FI"/>
        </w:rPr>
        <w:t>Technologikis</w:t>
      </w:r>
      <w:proofErr w:type="spellEnd"/>
      <w:r w:rsidR="00814842" w:rsidRPr="00081A42">
        <w:rPr>
          <w:rFonts w:ascii="Calibri" w:eastAsia="SimSun" w:hAnsi="Calibri" w:cs="Calibri"/>
          <w:spacing w:val="-3"/>
          <w:sz w:val="20"/>
          <w:szCs w:val="20"/>
          <w:lang w:eastAsia="fi-FI"/>
        </w:rPr>
        <w:t xml:space="preserve"> Anaptyxis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“CERTH”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Mandat International alias </w:t>
      </w:r>
      <w:proofErr w:type="spellStart"/>
      <w:r w:rsidR="00814842" w:rsidRPr="00081A42">
        <w:rPr>
          <w:rFonts w:ascii="Calibri" w:eastAsia="SimSun" w:hAnsi="Calibri" w:cs="Calibri"/>
          <w:spacing w:val="-3"/>
          <w:sz w:val="20"/>
          <w:szCs w:val="20"/>
          <w:lang w:eastAsia="fi-FI"/>
        </w:rPr>
        <w:t>Fondation</w:t>
      </w:r>
      <w:proofErr w:type="spellEnd"/>
      <w:r w:rsidR="00814842" w:rsidRPr="00081A42">
        <w:rPr>
          <w:rFonts w:ascii="Calibri" w:eastAsia="SimSun" w:hAnsi="Calibri" w:cs="Calibri"/>
          <w:spacing w:val="-3"/>
          <w:sz w:val="20"/>
          <w:szCs w:val="20"/>
          <w:lang w:eastAsia="fi-FI"/>
        </w:rPr>
        <w:t xml:space="preserve"> pour la Cooperation </w:t>
      </w:r>
      <w:proofErr w:type="spellStart"/>
      <w:r w:rsidR="00814842" w:rsidRPr="00081A42">
        <w:rPr>
          <w:rFonts w:ascii="Calibri" w:eastAsia="SimSun" w:hAnsi="Calibri" w:cs="Calibri"/>
          <w:spacing w:val="-3"/>
          <w:sz w:val="20"/>
          <w:szCs w:val="20"/>
          <w:lang w:eastAsia="fi-FI"/>
        </w:rPr>
        <w:t>Internationale</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“MI”</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EURESCOM – European Institute for Research and Strategic Studies in Telecommunications GmbH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“EURESCOM”</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 GmbH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 Spain S.A.U</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National Technical University of Athens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“NTUA”</w:t>
      </w:r>
      <w:r w:rsidR="00814842" w:rsidRPr="00081A42">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Recherche en I</w:t>
      </w:r>
      <w:r w:rsidR="00814842" w:rsidRPr="00EF314E">
        <w:rPr>
          <w:rFonts w:ascii="Calibri" w:hAnsi="Calibri"/>
          <w:sz w:val="20"/>
          <w:szCs w:val="20"/>
          <w:lang w:val="en-GB"/>
        </w:rPr>
        <w:t xml:space="preserve">nformatique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i</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w:t>
      </w:r>
      <w:r w:rsidR="00F45AB6">
        <w:rPr>
          <w:rFonts w:ascii="Calibri" w:hAnsi="Calibri"/>
          <w:sz w:val="20"/>
          <w:szCs w:val="20"/>
        </w:rPr>
        <w:t>Fed4FIRE+</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9E6A78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4718804B"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F45AB6">
        <w:rPr>
          <w:rFonts w:ascii="Calibri" w:hAnsi="Calibri"/>
          <w:sz w:val="20"/>
          <w:szCs w:val="20"/>
        </w:rPr>
        <w:t>Fed4FIRE+</w:t>
      </w:r>
      <w:r w:rsidRPr="00EF314E">
        <w:rPr>
          <w:rFonts w:ascii="Calibri" w:hAnsi="Calibri"/>
          <w:sz w:val="20"/>
          <w:szCs w:val="20"/>
        </w:rPr>
        <w:t xml:space="preserve"> is to provide, run and further improve </w:t>
      </w:r>
      <w:r w:rsidR="00F45AB6">
        <w:rPr>
          <w:rFonts w:ascii="Calibri" w:hAnsi="Calibri"/>
          <w:sz w:val="20"/>
          <w:szCs w:val="20"/>
        </w:rPr>
        <w:t>Fed4FIRE+</w:t>
      </w:r>
      <w:r w:rsidRPr="00EF314E">
        <w:rPr>
          <w:rFonts w:ascii="Calibri" w:hAnsi="Calibri"/>
          <w:sz w:val="20"/>
          <w:szCs w:val="20"/>
          <w:vertAlign w:val="superscript"/>
        </w:rPr>
        <w:t xml:space="preserve">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6D3F2C7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2CB57002"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w:t>
      </w:r>
      <w:r w:rsidR="00F45AB6">
        <w:rPr>
          <w:rFonts w:ascii="Calibri" w:hAnsi="Calibri"/>
          <w:sz w:val="20"/>
          <w:szCs w:val="20"/>
        </w:rPr>
        <w:t>Fed4FIRE+</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91402F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“Platform” means the </w:t>
      </w:r>
      <w:r w:rsidR="00F45AB6">
        <w:rPr>
          <w:rFonts w:ascii="Calibri" w:hAnsi="Calibri"/>
          <w:sz w:val="20"/>
          <w:szCs w:val="20"/>
        </w:rPr>
        <w:t>Fed4FIRE+</w:t>
      </w:r>
      <w:r w:rsidRPr="00EF314E">
        <w:rPr>
          <w:rFonts w:ascii="Calibri" w:hAnsi="Calibri"/>
          <w:sz w:val="20"/>
          <w:szCs w:val="20"/>
        </w:rPr>
        <w:t xml:space="preserve"> testbed resources and tools in the </w:t>
      </w:r>
      <w:r w:rsidR="00F45AB6">
        <w:rPr>
          <w:rFonts w:ascii="Calibri" w:hAnsi="Calibri"/>
          <w:sz w:val="20"/>
          <w:szCs w:val="20"/>
        </w:rPr>
        <w:t>Fed4FIRE+</w:t>
      </w:r>
      <w:r w:rsidRPr="00A51041">
        <w:rPr>
          <w:rFonts w:ascii="Calibri" w:hAnsi="Calibri"/>
          <w:sz w:val="20"/>
          <w:szCs w:val="20"/>
        </w:rPr>
        <w:t xml:space="preserve"> </w:t>
      </w:r>
      <w:r w:rsidRPr="00EF314E">
        <w:rPr>
          <w:rFonts w:ascii="Calibri" w:hAnsi="Calibri"/>
          <w:sz w:val="20"/>
          <w:szCs w:val="20"/>
        </w:rPr>
        <w:t>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AC1F894" w14:textId="77777777" w:rsidR="00EF314E" w:rsidRP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6737F5AE"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F45AB6">
        <w:rPr>
          <w:rFonts w:ascii="Calibri" w:hAnsi="Calibri"/>
          <w:sz w:val="20"/>
          <w:szCs w:val="20"/>
        </w:rPr>
        <w:t>Fed4FIRE+</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2C7AF0FA" w:rsidR="00DC3A7C" w:rsidRPr="00EF314E" w:rsidRDefault="00DC3A7C" w:rsidP="000B1AD5">
      <w:pPr>
        <w:jc w:val="both"/>
        <w:rPr>
          <w:rFonts w:ascii="Calibri" w:hAnsi="Calibri"/>
          <w:sz w:val="20"/>
          <w:szCs w:val="20"/>
        </w:rPr>
      </w:pPr>
      <w:r w:rsidRPr="00EF314E">
        <w:rPr>
          <w:rFonts w:ascii="Calibri" w:hAnsi="Calibri"/>
          <w:sz w:val="20"/>
          <w:szCs w:val="20"/>
        </w:rPr>
        <w:t>The Experimenter agrees the</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F45AB6">
        <w:rPr>
          <w:rFonts w:ascii="Calibri" w:hAnsi="Calibri"/>
          <w:sz w:val="20"/>
          <w:szCs w:val="20"/>
        </w:rPr>
        <w:t>Fed4FIRE+</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7372A18D"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6C6ECB8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 xml:space="preserve">other </w:t>
      </w:r>
      <w:r w:rsidR="00F45AB6">
        <w:rPr>
          <w:rFonts w:ascii="Calibri" w:hAnsi="Calibri"/>
          <w:sz w:val="20"/>
          <w:szCs w:val="20"/>
        </w:rPr>
        <w:t>Fed4FIRE+</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396BF690" w:rsidR="00F53CE0" w:rsidRPr="008E795C" w:rsidRDefault="00F53CE0" w:rsidP="000B1AD5">
      <w:pPr>
        <w:jc w:val="both"/>
        <w:rPr>
          <w:rFonts w:ascii="Calibri" w:hAnsi="Calibri" w:cs="Calibri"/>
          <w:sz w:val="20"/>
          <w:szCs w:val="20"/>
        </w:rPr>
      </w:pPr>
      <w:r w:rsidRPr="00151CDD">
        <w:rPr>
          <w:rFonts w:ascii="Calibri" w:hAnsi="Calibri" w:cs="Calibri"/>
          <w:sz w:val="20"/>
          <w:szCs w:val="20"/>
          <w:highlight w:val="yellow"/>
        </w:rPr>
        <w:t>Budget</w:t>
      </w:r>
      <w:r w:rsidR="00342F95">
        <w:rPr>
          <w:rFonts w:ascii="Calibri" w:hAnsi="Calibri" w:cs="Calibri"/>
          <w:sz w:val="20"/>
          <w:szCs w:val="20"/>
          <w:highlight w:val="yellow"/>
        </w:rPr>
        <w:t xml:space="preserve"> Experimenter</w:t>
      </w:r>
      <w:r w:rsidRPr="00151CDD">
        <w:rPr>
          <w:rFonts w:ascii="Calibri" w:hAnsi="Calibri" w:cs="Calibri"/>
          <w:sz w:val="20"/>
          <w:szCs w:val="20"/>
          <w:highlight w:val="yellow"/>
        </w:rPr>
        <w:t>: xxx k€</w:t>
      </w:r>
    </w:p>
    <w:p w14:paraId="3CC6630D" w14:textId="18595220" w:rsidR="00342F95" w:rsidRDefault="00342F95" w:rsidP="00342F95">
      <w:pPr>
        <w:jc w:val="both"/>
        <w:rPr>
          <w:rFonts w:ascii="Calibri" w:hAnsi="Calibri" w:cs="Calibri"/>
          <w:sz w:val="20"/>
          <w:szCs w:val="20"/>
        </w:rPr>
      </w:pPr>
      <w:r w:rsidRPr="00151CDD">
        <w:rPr>
          <w:rFonts w:ascii="Calibri" w:hAnsi="Calibri" w:cs="Calibri"/>
          <w:sz w:val="20"/>
          <w:szCs w:val="20"/>
          <w:highlight w:val="yellow"/>
        </w:rPr>
        <w:t>Budget</w:t>
      </w:r>
      <w:r>
        <w:rPr>
          <w:rFonts w:ascii="Calibri" w:hAnsi="Calibri" w:cs="Calibri"/>
          <w:sz w:val="20"/>
          <w:szCs w:val="20"/>
          <w:highlight w:val="yellow"/>
        </w:rPr>
        <w:t xml:space="preserve"> Patron</w:t>
      </w:r>
      <w:r w:rsidRPr="00151CDD">
        <w:rPr>
          <w:rFonts w:ascii="Calibri" w:hAnsi="Calibri" w:cs="Calibri"/>
          <w:sz w:val="20"/>
          <w:szCs w:val="20"/>
          <w:highlight w:val="yellow"/>
        </w:rPr>
        <w: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D75D3" w14:textId="77777777" w:rsidR="00746082" w:rsidRDefault="00746082" w:rsidP="00280195">
      <w:r>
        <w:separator/>
      </w:r>
    </w:p>
  </w:endnote>
  <w:endnote w:type="continuationSeparator" w:id="0">
    <w:p w14:paraId="25B8B238" w14:textId="77777777" w:rsidR="00746082" w:rsidRDefault="00746082"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7E06612B" w:rsidR="00081A42" w:rsidRDefault="00D7376C" w:rsidP="00DC0AA2">
            <w:pPr>
              <w:pStyle w:val="Footer"/>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p w14:paraId="6E2975B4" w14:textId="5399CC26" w:rsidR="00D7376C" w:rsidRPr="00DC0AA2" w:rsidRDefault="00081A42" w:rsidP="00081A42">
            <w:pPr>
              <w:pStyle w:val="Footer"/>
              <w:jc w:val="right"/>
            </w:pPr>
            <w:r w:rsidRPr="00081A42">
              <w:rPr>
                <w:bCs/>
                <w:sz w:val="20"/>
                <w:szCs w:val="24"/>
              </w:rPr>
              <w:t>version 17-08-23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B83E" w14:textId="77777777" w:rsidR="00746082" w:rsidRDefault="00746082" w:rsidP="00280195">
      <w:r>
        <w:separator/>
      </w:r>
    </w:p>
  </w:footnote>
  <w:footnote w:type="continuationSeparator" w:id="0">
    <w:p w14:paraId="274F4944" w14:textId="77777777" w:rsidR="00746082" w:rsidRDefault="00746082"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AB01" w14:textId="258F0E39"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 xml:space="preserve">Call identifier: F4Fp </w:t>
    </w:r>
    <w:r w:rsidR="009C1CAB">
      <w:rPr>
        <w:sz w:val="20"/>
      </w:rPr>
      <w:t>–</w:t>
    </w:r>
    <w:r w:rsidR="00342F95">
      <w:rPr>
        <w:sz w:val="20"/>
      </w:rPr>
      <w:t xml:space="preserve"> 0</w:t>
    </w:r>
    <w:r w:rsidR="009C1CAB">
      <w:rPr>
        <w:sz w:val="20"/>
      </w:rPr>
      <w:t>9 – Stage 2 SME</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2325"/>
    <w:rsid w:val="0003774E"/>
    <w:rsid w:val="000429EE"/>
    <w:rsid w:val="00046C2A"/>
    <w:rsid w:val="00081A42"/>
    <w:rsid w:val="000851F5"/>
    <w:rsid w:val="000B1AD5"/>
    <w:rsid w:val="000F0116"/>
    <w:rsid w:val="00146E6D"/>
    <w:rsid w:val="00151761"/>
    <w:rsid w:val="00151CDD"/>
    <w:rsid w:val="00161B56"/>
    <w:rsid w:val="001A2651"/>
    <w:rsid w:val="001B46C3"/>
    <w:rsid w:val="001B4D8E"/>
    <w:rsid w:val="00221130"/>
    <w:rsid w:val="00241BA1"/>
    <w:rsid w:val="0024480C"/>
    <w:rsid w:val="00280195"/>
    <w:rsid w:val="002A2874"/>
    <w:rsid w:val="002B43A1"/>
    <w:rsid w:val="002E402B"/>
    <w:rsid w:val="00316019"/>
    <w:rsid w:val="00316250"/>
    <w:rsid w:val="00342F95"/>
    <w:rsid w:val="00350807"/>
    <w:rsid w:val="00354D61"/>
    <w:rsid w:val="003A7255"/>
    <w:rsid w:val="003C53D0"/>
    <w:rsid w:val="00412558"/>
    <w:rsid w:val="004151AB"/>
    <w:rsid w:val="00415F51"/>
    <w:rsid w:val="0046146D"/>
    <w:rsid w:val="00485FC6"/>
    <w:rsid w:val="004C46AB"/>
    <w:rsid w:val="004C5C7F"/>
    <w:rsid w:val="004E1797"/>
    <w:rsid w:val="004F7178"/>
    <w:rsid w:val="0050606E"/>
    <w:rsid w:val="00506A7B"/>
    <w:rsid w:val="0051776F"/>
    <w:rsid w:val="005413EE"/>
    <w:rsid w:val="005B4F3B"/>
    <w:rsid w:val="005D36EE"/>
    <w:rsid w:val="005E1BF2"/>
    <w:rsid w:val="006117D3"/>
    <w:rsid w:val="006169CA"/>
    <w:rsid w:val="00622A84"/>
    <w:rsid w:val="00635F1C"/>
    <w:rsid w:val="00643402"/>
    <w:rsid w:val="00656DEA"/>
    <w:rsid w:val="006F1E77"/>
    <w:rsid w:val="0070350C"/>
    <w:rsid w:val="00746082"/>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C1CAB"/>
    <w:rsid w:val="009E2F81"/>
    <w:rsid w:val="00A51041"/>
    <w:rsid w:val="00A830A6"/>
    <w:rsid w:val="00A9216C"/>
    <w:rsid w:val="00A959C5"/>
    <w:rsid w:val="00AC1F84"/>
    <w:rsid w:val="00AD6025"/>
    <w:rsid w:val="00B45DD9"/>
    <w:rsid w:val="00B50534"/>
    <w:rsid w:val="00B804DE"/>
    <w:rsid w:val="00BA6C7E"/>
    <w:rsid w:val="00BE5BD5"/>
    <w:rsid w:val="00C73754"/>
    <w:rsid w:val="00CB2497"/>
    <w:rsid w:val="00CB2696"/>
    <w:rsid w:val="00CE51AB"/>
    <w:rsid w:val="00D54B18"/>
    <w:rsid w:val="00D7376C"/>
    <w:rsid w:val="00DC0AA2"/>
    <w:rsid w:val="00DC3A7C"/>
    <w:rsid w:val="00E006E3"/>
    <w:rsid w:val="00E2540C"/>
    <w:rsid w:val="00E45699"/>
    <w:rsid w:val="00E57C77"/>
    <w:rsid w:val="00E847B3"/>
    <w:rsid w:val="00EA02D0"/>
    <w:rsid w:val="00EE7944"/>
    <w:rsid w:val="00EF05ED"/>
    <w:rsid w:val="00EF314E"/>
    <w:rsid w:val="00F07267"/>
    <w:rsid w:val="00F45AB6"/>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1AF8-C0D9-4BF0-A862-1D6B17E8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 (UGent-imec)</cp:lastModifiedBy>
  <cp:revision>7</cp:revision>
  <dcterms:created xsi:type="dcterms:W3CDTF">2018-12-21T15:17:00Z</dcterms:created>
  <dcterms:modified xsi:type="dcterms:W3CDTF">2021-01-04T13:46:00Z</dcterms:modified>
</cp:coreProperties>
</file>